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before="0" w:after="0"/>
      </w:pPr>
      <w:r>
        <w:rPr>
          <w:rFonts w:ascii="Arial" w:cs="Arial" w:eastAsia="Arial" w:hAnsi="Arial"/>
          <w:b/>
          <w:bCs/>
          <w:color w:val="666666"/>
          <w:sz w:val="20"/>
          <w:szCs w:val="20"/>
        </w:rPr>
        <w:t xml:space="preserve">INNOGET TECHNOLOGY OFFER</w:t>
      </w:r>
    </w:p>
    <w:p>
      <w:pPr>
        <w:spacing w:before="60" w:after="20"/>
      </w:pPr>
      <w:r>
        <w:rPr>
          <w:rFonts w:ascii="Arial" w:cs="Arial" w:eastAsia="Arial" w:hAnsi="Arial"/>
          <w:b/>
          <w:bCs/>
          <w:color w:val="1B3A6B"/>
          <w:sz w:val="44"/>
          <w:szCs w:val="44"/>
        </w:rPr>
        <w:t xml:space="preserve">One-Step In-Situ Nanocellulose Reinforcement</w:t>
      </w:r>
    </w:p>
    <w:p>
      <w:pPr>
        <w:spacing w:before="0" w:after="160"/>
      </w:pPr>
      <w:r>
        <w:rPr>
          <w:rFonts w:ascii="Arial" w:cs="Arial" w:eastAsia="Arial" w:hAnsi="Arial"/>
          <w:b/>
          <w:bCs/>
          <w:color w:val="1B3A6B"/>
          <w:sz w:val="40"/>
          <w:szCs w:val="40"/>
        </w:rPr>
        <w:t xml:space="preserve">for Thermoplastic Polymer Matrices</w:t>
      </w:r>
    </w:p>
    <w:p>
      <w:pPr>
        <w:pBdr>
          <w:bottom w:val="single" w:color="2E75B6" w:sz="6" w:space="2"/>
        </w:pBdr>
        <w:spacing w:before="0" w:after="0"/>
      </w:pPr>
      <w:r>
        <w:t xml:space="preserve"/>
      </w:r>
    </w:p>
    <w:p>
      <w:pPr>
        <w:spacing w:before="140" w:after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00"/>
        <w:gridCol w:w="6826"/>
      </w:tblGrid>
      <w:tr>
        <w:tc>
          <w:tcPr>
            <w:tcW w:type="dxa" w:w="2200"/>
            <w:tcBorders>
              <w:top w:val="single" w:color="CCCCCC" w:sz="2"/>
              <w:left w:val="single" w:color="CCCCCC" w:sz="2"/>
              <w:bottom w:val="single" w:color="CCCCCC" w:sz="2"/>
              <w:right w:val="single" w:color="CCCCCC" w:sz="2"/>
            </w:tcBorders>
            <w:shd w:fill="EEF4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1B3A6B"/>
                <w:sz w:val="20"/>
                <w:szCs w:val="20"/>
              </w:rPr>
              <w:t xml:space="preserve">Organisation</w:t>
            </w:r>
          </w:p>
        </w:tc>
        <w:tc>
          <w:tcPr>
            <w:tcW w:type="dxa" w:w="6826"/>
            <w:tcBorders>
              <w:top w:val="single" w:color="CCCCCC" w:sz="2"/>
              <w:left w:val="single" w:color="CCCCCC" w:sz="2"/>
              <w:bottom w:val="single" w:color="CCCCCC" w:sz="2"/>
              <w:right w:val="single" w:color="CCCCCC" w:sz="2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color w:val="333333"/>
                <w:sz w:val="20"/>
                <w:szCs w:val="20"/>
              </w:rPr>
              <w:t xml:space="preserve">RESOLVE TECHNOLOGIES PLC</w:t>
            </w:r>
          </w:p>
        </w:tc>
      </w:tr>
      <w:tr>
        <w:tc>
          <w:tcPr>
            <w:tcW w:type="dxa" w:w="2200"/>
            <w:tcBorders>
              <w:top w:val="single" w:color="CCCCCC" w:sz="2"/>
              <w:left w:val="single" w:color="CCCCCC" w:sz="2"/>
              <w:bottom w:val="single" w:color="CCCCCC" w:sz="2"/>
              <w:right w:val="single" w:color="CCCCCC" w:sz="2"/>
            </w:tcBorders>
            <w:shd w:fill="EEF4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1B3A6B"/>
                <w:sz w:val="20"/>
                <w:szCs w:val="20"/>
              </w:rPr>
              <w:t xml:space="preserve">Country</w:t>
            </w:r>
          </w:p>
        </w:tc>
        <w:tc>
          <w:tcPr>
            <w:tcW w:type="dxa" w:w="6826"/>
            <w:tcBorders>
              <w:top w:val="single" w:color="CCCCCC" w:sz="2"/>
              <w:left w:val="single" w:color="CCCCCC" w:sz="2"/>
              <w:bottom w:val="single" w:color="CCCCCC" w:sz="2"/>
              <w:right w:val="single" w:color="CCCCCC" w:sz="2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color w:val="333333"/>
                <w:sz w:val="20"/>
                <w:szCs w:val="20"/>
              </w:rPr>
              <w:t xml:space="preserve">Australia</w:t>
            </w:r>
          </w:p>
        </w:tc>
      </w:tr>
      <w:tr>
        <w:tc>
          <w:tcPr>
            <w:tcW w:type="dxa" w:w="2200"/>
            <w:tcBorders>
              <w:top w:val="single" w:color="CCCCCC" w:sz="2"/>
              <w:left w:val="single" w:color="CCCCCC" w:sz="2"/>
              <w:bottom w:val="single" w:color="CCCCCC" w:sz="2"/>
              <w:right w:val="single" w:color="CCCCCC" w:sz="2"/>
            </w:tcBorders>
            <w:shd w:fill="EEF4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1B3A6B"/>
                <w:sz w:val="20"/>
                <w:szCs w:val="20"/>
              </w:rPr>
              <w:t xml:space="preserve">Technology Sector</w:t>
            </w:r>
          </w:p>
        </w:tc>
        <w:tc>
          <w:tcPr>
            <w:tcW w:type="dxa" w:w="6826"/>
            <w:tcBorders>
              <w:top w:val="single" w:color="CCCCCC" w:sz="2"/>
              <w:left w:val="single" w:color="CCCCCC" w:sz="2"/>
              <w:bottom w:val="single" w:color="CCCCCC" w:sz="2"/>
              <w:right w:val="single" w:color="CCCCCC" w:sz="2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color w:val="333333"/>
                <w:sz w:val="20"/>
                <w:szCs w:val="20"/>
              </w:rPr>
              <w:t xml:space="preserve">Advanced Materials  |  Polymer Processing  |  Bioeconomy</w:t>
            </w:r>
          </w:p>
        </w:tc>
      </w:tr>
      <w:tr>
        <w:tc>
          <w:tcPr>
            <w:tcW w:type="dxa" w:w="2200"/>
            <w:tcBorders>
              <w:top w:val="single" w:color="CCCCCC" w:sz="2"/>
              <w:left w:val="single" w:color="CCCCCC" w:sz="2"/>
              <w:bottom w:val="single" w:color="CCCCCC" w:sz="2"/>
              <w:right w:val="single" w:color="CCCCCC" w:sz="2"/>
            </w:tcBorders>
            <w:shd w:fill="EEF4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1B3A6B"/>
                <w:sz w:val="20"/>
                <w:szCs w:val="20"/>
              </w:rPr>
              <w:t xml:space="preserve">Keywords</w:t>
            </w:r>
          </w:p>
        </w:tc>
        <w:tc>
          <w:tcPr>
            <w:tcW w:type="dxa" w:w="6826"/>
            <w:tcBorders>
              <w:top w:val="single" w:color="CCCCCC" w:sz="2"/>
              <w:left w:val="single" w:color="CCCCCC" w:sz="2"/>
              <w:bottom w:val="single" w:color="CCCCCC" w:sz="2"/>
              <w:right w:val="single" w:color="CCCCCC" w:sz="2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color w:val="333333"/>
                <w:sz w:val="20"/>
                <w:szCs w:val="20"/>
              </w:rPr>
              <w:t xml:space="preserve">nanocellulose, in-situ fibrillation, polymer composite, masterbatch, bio-reinforcement, recycled polymers</w:t>
            </w:r>
          </w:p>
        </w:tc>
      </w:tr>
      <w:tr>
        <w:tc>
          <w:tcPr>
            <w:tcW w:type="dxa" w:w="2200"/>
            <w:tcBorders>
              <w:top w:val="single" w:color="CCCCCC" w:sz="2"/>
              <w:left w:val="single" w:color="CCCCCC" w:sz="2"/>
              <w:bottom w:val="single" w:color="CCCCCC" w:sz="2"/>
              <w:right w:val="single" w:color="CCCCCC" w:sz="2"/>
            </w:tcBorders>
            <w:shd w:fill="EEF4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1B3A6B"/>
                <w:sz w:val="20"/>
                <w:szCs w:val="20"/>
              </w:rPr>
              <w:t xml:space="preserve">IP Status</w:t>
            </w:r>
          </w:p>
        </w:tc>
        <w:tc>
          <w:tcPr>
            <w:tcW w:type="dxa" w:w="6826"/>
            <w:tcBorders>
              <w:top w:val="single" w:color="CCCCCC" w:sz="2"/>
              <w:left w:val="single" w:color="CCCCCC" w:sz="2"/>
              <w:bottom w:val="single" w:color="CCCCCC" w:sz="2"/>
              <w:right w:val="single" w:color="CCCCCC" w:sz="2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color w:val="333333"/>
                <w:sz w:val="20"/>
                <w:szCs w:val="20"/>
              </w:rPr>
              <w:t xml:space="preserve">PCT Patent Application — PCT/AU2025/051446 (2025)</w:t>
            </w:r>
          </w:p>
        </w:tc>
      </w:tr>
      <w:tr>
        <w:tc>
          <w:tcPr>
            <w:tcW w:type="dxa" w:w="2200"/>
            <w:tcBorders>
              <w:top w:val="single" w:color="CCCCCC" w:sz="2"/>
              <w:left w:val="single" w:color="CCCCCC" w:sz="2"/>
              <w:bottom w:val="single" w:color="CCCCCC" w:sz="2"/>
              <w:right w:val="single" w:color="CCCCCC" w:sz="2"/>
            </w:tcBorders>
            <w:shd w:fill="EEF4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1B3A6B"/>
                <w:sz w:val="20"/>
                <w:szCs w:val="20"/>
              </w:rPr>
              <w:t xml:space="preserve">Collaboration Type</w:t>
            </w:r>
          </w:p>
        </w:tc>
        <w:tc>
          <w:tcPr>
            <w:tcW w:type="dxa" w:w="6826"/>
            <w:tcBorders>
              <w:top w:val="single" w:color="CCCCCC" w:sz="2"/>
              <w:left w:val="single" w:color="CCCCCC" w:sz="2"/>
              <w:bottom w:val="single" w:color="CCCCCC" w:sz="2"/>
              <w:right w:val="single" w:color="CCCCCC" w:sz="2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color w:val="333333"/>
                <w:sz w:val="20"/>
                <w:szCs w:val="20"/>
              </w:rPr>
              <w:t xml:space="preserve">Licensing  |  Joint Development  |  Supply Agreement</w:t>
            </w:r>
          </w:p>
        </w:tc>
      </w:tr>
      <w:tr>
        <w:tc>
          <w:tcPr>
            <w:tcW w:type="dxa" w:w="2200"/>
            <w:tcBorders>
              <w:top w:val="single" w:color="CCCCCC" w:sz="2"/>
              <w:left w:val="single" w:color="CCCCCC" w:sz="2"/>
              <w:bottom w:val="single" w:color="CCCCCC" w:sz="2"/>
              <w:right w:val="single" w:color="CCCCCC" w:sz="2"/>
            </w:tcBorders>
            <w:shd w:fill="EEF4FB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1B3A6B"/>
                <w:sz w:val="20"/>
                <w:szCs w:val="20"/>
              </w:rPr>
              <w:t xml:space="preserve">TRL Level</w:t>
            </w:r>
          </w:p>
        </w:tc>
        <w:tc>
          <w:tcPr>
            <w:tcW w:type="dxa" w:w="6826"/>
            <w:tcBorders>
              <w:top w:val="single" w:color="CCCCCC" w:sz="2"/>
              <w:left w:val="single" w:color="CCCCCC" w:sz="2"/>
              <w:bottom w:val="single" w:color="CCCCCC" w:sz="2"/>
              <w:right w:val="single" w:color="CCCCCC" w:sz="2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rFonts w:ascii="Arial" w:cs="Arial" w:eastAsia="Arial" w:hAnsi="Arial"/>
                <w:color w:val="333333"/>
                <w:sz w:val="20"/>
                <w:szCs w:val="20"/>
              </w:rPr>
              <w:t xml:space="preserve">TRL 4–5  (Lab validated, pilot scale in progress)</w:t>
            </w:r>
          </w:p>
        </w:tc>
      </w:tr>
    </w:tbl>
    <w:p>
      <w:pPr>
        <w:spacing w:before="220" w:after="0"/>
      </w:pPr>
      <w:r>
        <w:t xml:space="preserve"/>
      </w:r>
    </w:p>
    <w:p>
      <w:pPr>
        <w:spacing w:before="280" w:after="120"/>
      </w:pPr>
      <w:r>
        <w:rPr>
          <w:rFonts w:ascii="Arial" w:cs="Arial" w:eastAsia="Arial" w:hAnsi="Arial"/>
          <w:b/>
          <w:bCs/>
          <w:color w:val="1B3A6B"/>
          <w:sz w:val="28"/>
          <w:szCs w:val="28"/>
        </w:rPr>
        <w:t xml:space="preserve">OFFER ABSTRACT</w:t>
      </w:r>
    </w:p>
    <w:p>
      <w:pPr>
        <w:pBdr>
          <w:bottom w:val="single" w:color="2E75B6" w:sz="6" w:space="2"/>
        </w:pBdr>
        <w:spacing w:before="0" w:after="0"/>
      </w:pPr>
      <w:r>
        <w:t xml:space="preserve"/>
      </w:r>
    </w:p>
    <w:p>
      <w:pPr>
        <w:spacing w:before="80" w:after="0"/>
      </w:pPr>
      <w:r>
        <w:t xml:space="preserve"/>
      </w:r>
    </w:p>
    <w:p>
      <w:pPr>
        <w:spacing w:before="80" w:after="8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333333"/>
          <w:sz w:val="22"/>
          <w:szCs w:val="22"/>
        </w:rPr>
        <w:t xml:space="preserve">RESOLVE TECHNOLOGIES PLC (Australia) offers access to a patented one-step method for generating nanocellulose reinforcement directly within thermoplastic polymer matrices during standard melt processing. This technology eliminates the cost, complexity, and handling challenges of commercial nanocellulose by producing nano- and micro-cellulose fibres in situ from widely available natural cellulosic feedstocks — during the same processing step as polymer compounding or product manufacture.</w:t>
      </w:r>
    </w:p>
    <w:p>
      <w:pPr>
        <w:spacing w:before="80" w:after="0"/>
      </w:pPr>
      <w:r>
        <w:t xml:space="preserve"/>
      </w:r>
    </w:p>
    <w:p>
      <w:pPr>
        <w:spacing w:before="80" w:after="8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333333"/>
          <w:sz w:val="22"/>
          <w:szCs w:val="22"/>
        </w:rPr>
        <w:t xml:space="preserve">The result is a low-cost, scalable bio-reinforcement solution that improves mechanical performance, supports circular economy and recycled polymer applications, and is compatible with existing polymer processing infrastructure worldwide.</w:t>
      </w:r>
    </w:p>
    <w:p>
      <w:pPr>
        <w:spacing w:before="200" w:after="0"/>
      </w:pPr>
      <w:r>
        <w:t xml:space="preserve"/>
      </w:r>
    </w:p>
    <w:p>
      <w:pPr>
        <w:spacing w:before="280" w:after="120"/>
      </w:pPr>
      <w:r>
        <w:rPr>
          <w:rFonts w:ascii="Arial" w:cs="Arial" w:eastAsia="Arial" w:hAnsi="Arial"/>
          <w:b/>
          <w:bCs/>
          <w:color w:val="1B3A6B"/>
          <w:sz w:val="28"/>
          <w:szCs w:val="28"/>
        </w:rPr>
        <w:t xml:space="preserve">BACKGROUND &amp; PROBLEM ADDRESSED</w:t>
      </w:r>
    </w:p>
    <w:p>
      <w:pPr>
        <w:pBdr>
          <w:bottom w:val="single" w:color="2E75B6" w:sz="6" w:space="2"/>
        </w:pBdr>
        <w:spacing w:before="0" w:after="0"/>
      </w:pPr>
      <w:r>
        <w:t xml:space="preserve"/>
      </w:r>
    </w:p>
    <w:p>
      <w:pPr>
        <w:spacing w:before="80" w:after="0"/>
      </w:pPr>
      <w:r>
        <w:t xml:space="preserve"/>
      </w:r>
    </w:p>
    <w:p>
      <w:pPr>
        <w:spacing w:before="80" w:after="8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333333"/>
          <w:sz w:val="22"/>
          <w:szCs w:val="22"/>
        </w:rPr>
        <w:t xml:space="preserve">Nanocellulose (in the form of cellulose nanofibrils, CNF, or cellulose nanocrystals, CNC) is among the most promising bio-based reinforcement materials for polymers, offering an outstanding strength-to-weight ratio, renewable origin, and biodegradability. Despite decades of research, commercial uptake in polymer composites remains limited due to three persistent barriers:</w:t>
      </w:r>
    </w:p>
    <w:p>
      <w:pPr>
        <w:spacing w:before="80" w:after="0"/>
      </w:pPr>
      <w:r>
        <w:t xml:space="preserve"/>
      </w:r>
    </w:p>
    <w:p>
      <w:pPr>
        <w:pStyle w:val="ListParagraph"/>
        <w:numPr>
          <w:ilvl w:val="0"/>
          <w:numId w:val="2"/>
        </w:numPr>
        <w:spacing w:before="60" w:after="60"/>
      </w:pPr>
      <w:r>
        <w:rPr>
          <w:rFonts w:ascii="Arial" w:cs="Arial" w:eastAsia="Arial" w:hAnsi="Arial"/>
          <w:color w:val="333333"/>
          <w:sz w:val="22"/>
          <w:szCs w:val="22"/>
        </w:rPr>
        <w:t xml:space="preserve">Cost: Commercial CNF typically costs USD 30–150/kg — prohibitive for most polymer applications</w:t>
      </w:r>
    </w:p>
    <w:p>
      <w:pPr>
        <w:pStyle w:val="ListParagraph"/>
        <w:numPr>
          <w:ilvl w:val="0"/>
          <w:numId w:val="2"/>
        </w:numPr>
        <w:spacing w:before="60" w:after="60"/>
      </w:pPr>
      <w:r>
        <w:rPr>
          <w:rFonts w:ascii="Arial" w:cs="Arial" w:eastAsia="Arial" w:hAnsi="Arial"/>
          <w:color w:val="333333"/>
          <w:sz w:val="22"/>
          <w:szCs w:val="22"/>
        </w:rPr>
        <w:t xml:space="preserve">Processability: Nanocellulose is hydrophilic and incompatible with hydrophobic polymer matrices, requiring complex surface treatment and dispersion steps</w:t>
      </w:r>
    </w:p>
    <w:p>
      <w:pPr>
        <w:pStyle w:val="ListParagraph"/>
        <w:numPr>
          <w:ilvl w:val="0"/>
          <w:numId w:val="2"/>
        </w:numPr>
        <w:spacing w:before="60" w:after="60"/>
      </w:pPr>
      <w:r>
        <w:rPr>
          <w:rFonts w:ascii="Arial" w:cs="Arial" w:eastAsia="Arial" w:hAnsi="Arial"/>
          <w:color w:val="333333"/>
          <w:sz w:val="22"/>
          <w:szCs w:val="22"/>
        </w:rPr>
        <w:t xml:space="preserve">Handling: Industrial-scale handling of nanomaterials raises health, safety, and regulatory challenges</w:t>
      </w:r>
    </w:p>
    <w:p>
      <w:pPr>
        <w:spacing w:before="80" w:after="0"/>
      </w:pPr>
      <w:r>
        <w:t xml:space="preserve"/>
      </w:r>
    </w:p>
    <w:p>
      <w:pPr>
        <w:spacing w:before="80" w:after="8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333333"/>
          <w:sz w:val="22"/>
          <w:szCs w:val="22"/>
        </w:rPr>
        <w:t xml:space="preserve">No commercially viable one-step method has previously existed to generate high-performance nanocellulose reinforcement within polymer melts without pre-treatment or specialist equipment.</w:t>
      </w:r>
    </w:p>
    <w:p>
      <w:pPr>
        <w:spacing w:before="200" w:after="0"/>
      </w:pPr>
      <w:r>
        <w:t xml:space="preserve"/>
      </w:r>
    </w:p>
    <w:p>
      <w:pPr>
        <w:spacing w:before="280" w:after="120"/>
      </w:pPr>
      <w:r>
        <w:rPr>
          <w:rFonts w:ascii="Arial" w:cs="Arial" w:eastAsia="Arial" w:hAnsi="Arial"/>
          <w:b/>
          <w:bCs/>
          <w:color w:val="1B3A6B"/>
          <w:sz w:val="28"/>
          <w:szCs w:val="28"/>
        </w:rPr>
        <w:t xml:space="preserve">TECHNOLOGY DESCRIPTION</w:t>
      </w:r>
    </w:p>
    <w:p>
      <w:pPr>
        <w:pBdr>
          <w:bottom w:val="single" w:color="2E75B6" w:sz="6" w:space="2"/>
        </w:pBdr>
        <w:spacing w:before="0" w:after="0"/>
      </w:pPr>
      <w:r>
        <w:t xml:space="preserve"/>
      </w:r>
    </w:p>
    <w:p>
      <w:pPr>
        <w:spacing w:before="80" w:after="0"/>
      </w:pPr>
      <w:r>
        <w:t xml:space="preserve"/>
      </w:r>
    </w:p>
    <w:p>
      <w:pPr>
        <w:spacing w:before="80" w:after="8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333333"/>
          <w:sz w:val="22"/>
          <w:szCs w:val="22"/>
        </w:rPr>
        <w:t xml:space="preserve">The RESOLVE TECHNOLOGIES method employs a proprietary additive formulation that, when introduced during melt-phase processing, causes in-situ fibrillation of cellulosic materials present in the polymer stream. The mechanism acts on any natural cellulose-containing feedstock and generates a distribution of micro- and nanoscale fibres distributed throughout the polymer matrix as the material is processed.</w:t>
      </w:r>
    </w:p>
    <w:p>
      <w:pPr>
        <w:spacing w:before="120" w:after="0"/>
      </w:pPr>
      <w:r>
        <w:t xml:space="preserve"/>
      </w:r>
    </w:p>
    <w:p>
      <w:pPr>
        <w:spacing w:before="200" w:after="80"/>
      </w:pPr>
      <w:r>
        <w:rPr>
          <w:rFonts w:ascii="Arial" w:cs="Arial" w:eastAsia="Arial" w:hAnsi="Arial"/>
          <w:b/>
          <w:bCs/>
          <w:color w:val="2E75B6"/>
          <w:sz w:val="24"/>
          <w:szCs w:val="24"/>
        </w:rPr>
        <w:t xml:space="preserve">Technical Highlights</w:t>
      </w:r>
    </w:p>
    <w:p>
      <w:pPr>
        <w:pStyle w:val="ListParagraph"/>
        <w:numPr>
          <w:ilvl w:val="0"/>
          <w:numId w:val="2"/>
        </w:numPr>
        <w:spacing w:before="60" w:after="60"/>
      </w:pPr>
      <w:r>
        <w:rPr>
          <w:rFonts w:ascii="Arial" w:cs="Arial" w:eastAsia="Arial" w:hAnsi="Arial"/>
          <w:color w:val="333333"/>
          <w:sz w:val="22"/>
          <w:szCs w:val="22"/>
        </w:rPr>
        <w:t xml:space="preserve">In-situ: nanocellulose forms during extrusion or compounding — no pre-treatment required</w:t>
      </w:r>
    </w:p>
    <w:p>
      <w:pPr>
        <w:pStyle w:val="ListParagraph"/>
        <w:numPr>
          <w:ilvl w:val="0"/>
          <w:numId w:val="2"/>
        </w:numPr>
        <w:spacing w:before="60" w:after="60"/>
      </w:pPr>
      <w:r>
        <w:rPr>
          <w:rFonts w:ascii="Arial" w:cs="Arial" w:eastAsia="Arial" w:hAnsi="Arial"/>
          <w:color w:val="333333"/>
          <w:sz w:val="22"/>
          <w:szCs w:val="22"/>
        </w:rPr>
        <w:t xml:space="preserve">Feedstock agnostic: wood pulp, hemp, flax, agricultural waste, cotton, mixed natural textile fibres</w:t>
      </w:r>
    </w:p>
    <w:p>
      <w:pPr>
        <w:pStyle w:val="ListParagraph"/>
        <w:numPr>
          <w:ilvl w:val="0"/>
          <w:numId w:val="2"/>
        </w:numPr>
        <w:spacing w:before="60" w:after="60"/>
      </w:pPr>
      <w:r>
        <w:rPr>
          <w:rFonts w:ascii="Arial" w:cs="Arial" w:eastAsia="Arial" w:hAnsi="Arial"/>
          <w:color w:val="333333"/>
          <w:sz w:val="22"/>
          <w:szCs w:val="22"/>
        </w:rPr>
        <w:t xml:space="preserve">Matrix agnostic: effective in PP, PE, PET, PVC, bio-polymers, recycled and mixed polymer streams</w:t>
      </w:r>
    </w:p>
    <w:p>
      <w:pPr>
        <w:pStyle w:val="ListParagraph"/>
        <w:numPr>
          <w:ilvl w:val="0"/>
          <w:numId w:val="2"/>
        </w:numPr>
        <w:spacing w:before="60" w:after="60"/>
      </w:pPr>
      <w:r>
        <w:rPr>
          <w:rFonts w:ascii="Arial" w:cs="Arial" w:eastAsia="Arial" w:hAnsi="Arial"/>
          <w:color w:val="333333"/>
          <w:sz w:val="22"/>
          <w:szCs w:val="22"/>
        </w:rPr>
        <w:t xml:space="preserve">Dry process: fully melt-phase — no solvents, no water, no nanomaterial handling</w:t>
      </w:r>
    </w:p>
    <w:p>
      <w:pPr>
        <w:pStyle w:val="ListParagraph"/>
        <w:numPr>
          <w:ilvl w:val="0"/>
          <w:numId w:val="2"/>
        </w:numPr>
        <w:spacing w:before="60" w:after="60"/>
      </w:pPr>
      <w:r>
        <w:rPr>
          <w:rFonts w:ascii="Arial" w:cs="Arial" w:eastAsia="Arial" w:hAnsi="Arial"/>
          <w:color w:val="333333"/>
          <w:sz w:val="22"/>
          <w:szCs w:val="22"/>
        </w:rPr>
        <w:t xml:space="preserve">Masterbatch format: cellulose loading up to 60 wt% achievable in carrier pellets</w:t>
      </w:r>
    </w:p>
    <w:p>
      <w:pPr>
        <w:pStyle w:val="ListParagraph"/>
        <w:numPr>
          <w:ilvl w:val="0"/>
          <w:numId w:val="2"/>
        </w:numPr>
        <w:spacing w:before="60" w:after="60"/>
      </w:pPr>
      <w:r>
        <w:rPr>
          <w:rFonts w:ascii="Arial" w:cs="Arial" w:eastAsia="Arial" w:hAnsi="Arial"/>
          <w:color w:val="333333"/>
          <w:sz w:val="22"/>
          <w:szCs w:val="22"/>
        </w:rPr>
        <w:t xml:space="preserve">Cost: 85–95% cost reduction versus commercial nanocellulose</w:t>
      </w:r>
    </w:p>
    <w:p>
      <w:pPr>
        <w:pStyle w:val="ListParagraph"/>
        <w:numPr>
          <w:ilvl w:val="0"/>
          <w:numId w:val="2"/>
        </w:numPr>
        <w:spacing w:before="60" w:after="60"/>
      </w:pPr>
      <w:r>
        <w:rPr>
          <w:rFonts w:ascii="Arial" w:cs="Arial" w:eastAsia="Arial" w:hAnsi="Arial"/>
          <w:color w:val="333333"/>
          <w:sz w:val="22"/>
          <w:szCs w:val="22"/>
        </w:rPr>
        <w:t xml:space="preserve">Scalable: suitable for twin-screw extrusion at industrial scale</w:t>
      </w:r>
    </w:p>
    <w:p>
      <w:pPr>
        <w:spacing w:before="120" w:after="0"/>
      </w:pPr>
      <w:r>
        <w:t xml:space="preserve"/>
      </w:r>
    </w:p>
    <w:p>
      <w:pPr>
        <w:spacing w:before="200" w:after="80"/>
      </w:pPr>
      <w:r>
        <w:rPr>
          <w:rFonts w:ascii="Arial" w:cs="Arial" w:eastAsia="Arial" w:hAnsi="Arial"/>
          <w:b/>
          <w:bCs/>
          <w:color w:val="2E75B6"/>
          <w:sz w:val="24"/>
          <w:szCs w:val="24"/>
        </w:rPr>
        <w:t xml:space="preserve">Confirmed Results</w:t>
      </w:r>
    </w:p>
    <w:p>
      <w:pPr>
        <w:pStyle w:val="ListParagraph"/>
        <w:numPr>
          <w:ilvl w:val="0"/>
          <w:numId w:val="2"/>
        </w:numPr>
        <w:spacing w:before="60" w:after="60"/>
      </w:pPr>
      <w:r>
        <w:rPr>
          <w:rFonts w:ascii="Arial" w:cs="Arial" w:eastAsia="Arial" w:hAnsi="Arial"/>
          <w:color w:val="333333"/>
          <w:sz w:val="22"/>
          <w:szCs w:val="22"/>
        </w:rPr>
        <w:t xml:space="preserve">Formation of micro- and nanocellulose fibre structures confirmed by electron microscopy</w:t>
      </w:r>
    </w:p>
    <w:p>
      <w:pPr>
        <w:pStyle w:val="ListParagraph"/>
        <w:numPr>
          <w:ilvl w:val="0"/>
          <w:numId w:val="2"/>
        </w:numPr>
        <w:spacing w:before="60" w:after="60"/>
      </w:pPr>
      <w:r>
        <w:rPr>
          <w:rFonts w:ascii="Arial" w:cs="Arial" w:eastAsia="Arial" w:hAnsi="Arial"/>
          <w:color w:val="333333"/>
          <w:sz w:val="22"/>
          <w:szCs w:val="22"/>
        </w:rPr>
        <w:t xml:space="preserve">Improved tensile strength, modulus, and impact behaviour versus unfilled polymer</w:t>
      </w:r>
    </w:p>
    <w:p>
      <w:pPr>
        <w:pStyle w:val="ListParagraph"/>
        <w:numPr>
          <w:ilvl w:val="0"/>
          <w:numId w:val="2"/>
        </w:numPr>
        <w:spacing w:before="60" w:after="60"/>
      </w:pPr>
      <w:r>
        <w:rPr>
          <w:rFonts w:ascii="Arial" w:cs="Arial" w:eastAsia="Arial" w:hAnsi="Arial"/>
          <w:color w:val="333333"/>
          <w:sz w:val="22"/>
          <w:szCs w:val="22"/>
        </w:rPr>
        <w:t xml:space="preserve">Excellent fibre-matrix adhesion — superior interfacial bonding versus externally sourced CNF</w:t>
      </w:r>
    </w:p>
    <w:p>
      <w:pPr>
        <w:pStyle w:val="ListParagraph"/>
        <w:numPr>
          <w:ilvl w:val="0"/>
          <w:numId w:val="2"/>
        </w:numPr>
        <w:spacing w:before="60" w:after="60"/>
      </w:pPr>
      <w:r>
        <w:rPr>
          <w:rFonts w:ascii="Arial" w:cs="Arial" w:eastAsia="Arial" w:hAnsi="Arial"/>
          <w:color w:val="333333"/>
          <w:sz w:val="22"/>
          <w:szCs w:val="22"/>
        </w:rPr>
        <w:t xml:space="preserve">Performance validated across multiple cellulosic feedstocks and thermoplastic matrices</w:t>
      </w:r>
    </w:p>
    <w:p>
      <w:pPr>
        <w:spacing w:before="200" w:after="0"/>
      </w:pPr>
      <w:r>
        <w:t xml:space="preserve"/>
      </w:r>
    </w:p>
    <w:p>
      <w:pPr>
        <w:spacing w:before="280" w:after="120"/>
      </w:pPr>
      <w:r>
        <w:rPr>
          <w:rFonts w:ascii="Arial" w:cs="Arial" w:eastAsia="Arial" w:hAnsi="Arial"/>
          <w:b/>
          <w:bCs/>
          <w:color w:val="1B3A6B"/>
          <w:sz w:val="28"/>
          <w:szCs w:val="28"/>
        </w:rPr>
        <w:t xml:space="preserve">APPLICATIONS &amp; TARGET MARKETS</w:t>
      </w:r>
    </w:p>
    <w:p>
      <w:pPr>
        <w:pBdr>
          <w:bottom w:val="single" w:color="2E75B6" w:sz="6" w:space="2"/>
        </w:pBdr>
        <w:spacing w:before="0" w:after="0"/>
      </w:pPr>
      <w:r>
        <w:t xml:space="preserve"/>
      </w:r>
    </w:p>
    <w:p>
      <w:pPr>
        <w:spacing w:before="80" w:after="0"/>
      </w:pPr>
      <w:r>
        <w:t xml:space="preserve"/>
      </w:r>
    </w:p>
    <w:p>
      <w:pPr>
        <w:spacing w:before="80" w:after="8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333333"/>
          <w:sz w:val="22"/>
          <w:szCs w:val="22"/>
        </w:rPr>
        <w:t xml:space="preserve">The technology addresses high-value application areas across multiple industries:</w:t>
      </w:r>
    </w:p>
    <w:p>
      <w:pPr>
        <w:spacing w:before="80" w:after="0"/>
      </w:pPr>
      <w:r>
        <w:t xml:space="preserve"/>
      </w:r>
    </w:p>
    <w:p>
      <w:pPr>
        <w:pStyle w:val="ListParagraph"/>
        <w:numPr>
          <w:ilvl w:val="0"/>
          <w:numId w:val="2"/>
        </w:numPr>
        <w:spacing w:before="60" w:after="60"/>
      </w:pPr>
      <w:r>
        <w:rPr>
          <w:rFonts w:ascii="Arial" w:cs="Arial" w:eastAsia="Arial" w:hAnsi="Arial"/>
          <w:color w:val="333333"/>
          <w:sz w:val="22"/>
          <w:szCs w:val="22"/>
        </w:rPr>
        <w:t xml:space="preserve">Automotive &amp; transport — lightweight structural composites, interior components</w:t>
      </w:r>
    </w:p>
    <w:p>
      <w:pPr>
        <w:pStyle w:val="ListParagraph"/>
        <w:numPr>
          <w:ilvl w:val="0"/>
          <w:numId w:val="2"/>
        </w:numPr>
        <w:spacing w:before="60" w:after="60"/>
      </w:pPr>
      <w:r>
        <w:rPr>
          <w:rFonts w:ascii="Arial" w:cs="Arial" w:eastAsia="Arial" w:hAnsi="Arial"/>
          <w:color w:val="333333"/>
          <w:sz w:val="22"/>
          <w:szCs w:val="22"/>
        </w:rPr>
        <w:t xml:space="preserve">Packaging — improved barrier and mechanical performance with bio-content</w:t>
      </w:r>
    </w:p>
    <w:p>
      <w:pPr>
        <w:pStyle w:val="ListParagraph"/>
        <w:numPr>
          <w:ilvl w:val="0"/>
          <w:numId w:val="2"/>
        </w:numPr>
        <w:spacing w:before="60" w:after="60"/>
      </w:pPr>
      <w:r>
        <w:rPr>
          <w:rFonts w:ascii="Arial" w:cs="Arial" w:eastAsia="Arial" w:hAnsi="Arial"/>
          <w:color w:val="333333"/>
          <w:sz w:val="22"/>
          <w:szCs w:val="22"/>
        </w:rPr>
        <w:t xml:space="preserve">Construction — fibre-reinforced profiles, panels, pipe</w:t>
      </w:r>
    </w:p>
    <w:p>
      <w:pPr>
        <w:pStyle w:val="ListParagraph"/>
        <w:numPr>
          <w:ilvl w:val="0"/>
          <w:numId w:val="2"/>
        </w:numPr>
        <w:spacing w:before="60" w:after="60"/>
      </w:pPr>
      <w:r>
        <w:rPr>
          <w:rFonts w:ascii="Arial" w:cs="Arial" w:eastAsia="Arial" w:hAnsi="Arial"/>
          <w:color w:val="333333"/>
          <w:sz w:val="22"/>
          <w:szCs w:val="22"/>
        </w:rPr>
        <w:t xml:space="preserve">Furniture &amp; consumer goods — performance recycled polymer products</w:t>
      </w:r>
    </w:p>
    <w:p>
      <w:pPr>
        <w:pStyle w:val="ListParagraph"/>
        <w:numPr>
          <w:ilvl w:val="0"/>
          <w:numId w:val="2"/>
        </w:numPr>
        <w:spacing w:before="60" w:after="60"/>
      </w:pPr>
      <w:r>
        <w:rPr>
          <w:rFonts w:ascii="Arial" w:cs="Arial" w:eastAsia="Arial" w:hAnsi="Arial"/>
          <w:color w:val="333333"/>
          <w:sz w:val="22"/>
          <w:szCs w:val="22"/>
        </w:rPr>
        <w:t xml:space="preserve">Circular economy — upgrading ocean plastic, post-consumer and mixed recycled polymers</w:t>
      </w:r>
    </w:p>
    <w:p>
      <w:pPr>
        <w:pStyle w:val="ListParagraph"/>
        <w:numPr>
          <w:ilvl w:val="0"/>
          <w:numId w:val="2"/>
        </w:numPr>
        <w:spacing w:before="60" w:after="60"/>
      </w:pPr>
      <w:r>
        <w:rPr>
          <w:rFonts w:ascii="Arial" w:cs="Arial" w:eastAsia="Arial" w:hAnsi="Arial"/>
          <w:color w:val="333333"/>
          <w:sz w:val="22"/>
          <w:szCs w:val="22"/>
        </w:rPr>
        <w:t xml:space="preserve">Agricultural — natural-fibre polymer composites from crop waste</w:t>
      </w:r>
    </w:p>
    <w:p>
      <w:pPr>
        <w:spacing w:before="200" w:after="0"/>
      </w:pPr>
      <w:r>
        <w:t xml:space="preserve"/>
      </w:r>
    </w:p>
    <w:p>
      <w:pPr>
        <w:spacing w:before="280" w:after="120"/>
      </w:pPr>
      <w:r>
        <w:rPr>
          <w:rFonts w:ascii="Arial" w:cs="Arial" w:eastAsia="Arial" w:hAnsi="Arial"/>
          <w:b/>
          <w:bCs/>
          <w:color w:val="1B3A6B"/>
          <w:sz w:val="28"/>
          <w:szCs w:val="28"/>
        </w:rPr>
        <w:t xml:space="preserve">COLLABORATION SOUGHT</w:t>
      </w:r>
    </w:p>
    <w:p>
      <w:pPr>
        <w:pBdr>
          <w:bottom w:val="single" w:color="2E75B6" w:sz="6" w:space="2"/>
        </w:pBdr>
        <w:spacing w:before="0" w:after="0"/>
      </w:pPr>
      <w:r>
        <w:t xml:space="preserve"/>
      </w:r>
    </w:p>
    <w:p>
      <w:pPr>
        <w:spacing w:before="80" w:after="0"/>
      </w:pPr>
      <w:r>
        <w:t xml:space="preserve"/>
      </w:r>
    </w:p>
    <w:p>
      <w:pPr>
        <w:spacing w:before="80" w:after="8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333333"/>
          <w:sz w:val="22"/>
          <w:szCs w:val="22"/>
        </w:rPr>
        <w:t xml:space="preserve">RESOLVE TECHNOLOGIES is seeking qualified industrial and R&amp;D partners for the following types of collaboration:</w:t>
      </w:r>
    </w:p>
    <w:p>
      <w:pPr>
        <w:spacing w:before="80" w:after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6426"/>
      </w:tblGrid>
      <w:tr>
        <w:tc>
          <w:tcPr>
            <w:tcW w:type="dxa" w:w="2600"/>
            <w:tcBorders>
              <w:top w:val="single" w:color="CCCCCC" w:sz="2"/>
              <w:left w:val="single" w:color="2E75B6" w:sz="8"/>
              <w:bottom w:val="single" w:color="CCCCCC" w:sz="2"/>
              <w:right w:val="single" w:color="CCCCCC" w:sz="2"/>
            </w:tcBorders>
            <w:shd w:fill="EEF4FB" w:val="clear"/>
            <w:tcMar>
              <w:top w:type="dxa" w:w="120"/>
              <w:left w:type="dxa" w:w="160"/>
              <w:bottom w:type="dxa" w:w="120"/>
              <w:right w:type="dxa" w:w="160"/>
            </w:tcMar>
          </w:tcPr>
          <w:p>
            <w:r>
              <w:rPr>
                <w:rFonts w:ascii="Arial" w:cs="Arial" w:eastAsia="Arial" w:hAnsi="Arial"/>
                <w:b/>
                <w:bCs/>
                <w:color w:val="1B3A6B"/>
                <w:sz w:val="20"/>
                <w:szCs w:val="20"/>
              </w:rPr>
              <w:t xml:space="preserve">LICENSING</w:t>
            </w:r>
          </w:p>
        </w:tc>
        <w:tc>
          <w:tcPr>
            <w:tcW w:type="dxa" w:w="6426"/>
            <w:tcBorders>
              <w:top w:val="single" w:color="CCCCCC" w:sz="2"/>
              <w:left w:val="single" w:color="CCCCCC" w:sz="2"/>
              <w:bottom w:val="single" w:color="CCCCCC" w:sz="2"/>
              <w:right w:val="single" w:color="CCCCCC" w:sz="2"/>
            </w:tcBorders>
            <w:shd w:fill="EEF4FB" w:val="clear"/>
            <w:tcMar>
              <w:top w:type="dxa" w:w="120"/>
              <w:left w:type="dxa" w:w="160"/>
              <w:bottom w:type="dxa" w:w="120"/>
              <w:right w:type="dxa" w:w="160"/>
            </w:tcMar>
          </w:tcPr>
          <w:p>
            <w:r>
              <w:rPr>
                <w:rFonts w:ascii="Arial" w:cs="Arial" w:eastAsia="Arial" w:hAnsi="Arial"/>
                <w:color w:val="333333"/>
                <w:sz w:val="20"/>
                <w:szCs w:val="20"/>
              </w:rPr>
              <w:t xml:space="preserve">Technology licence — exclusive or non-exclusive — for defined application fields or territories. Full technical support included.</w:t>
            </w:r>
          </w:p>
        </w:tc>
      </w:tr>
      <w:tr>
        <w:tc>
          <w:tcPr>
            <w:tcW w:type="dxa" w:w="2600"/>
            <w:tcBorders>
              <w:top w:val="single" w:color="CCCCCC" w:sz="2"/>
              <w:left w:val="single" w:color="2E75B6" w:sz="8"/>
              <w:bottom w:val="single" w:color="CCCCCC" w:sz="2"/>
              <w:right w:val="single" w:color="CCCCCC" w:sz="2"/>
            </w:tcBorders>
            <w:shd w:fill="F5F5F5" w:val="clear"/>
            <w:tcMar>
              <w:top w:type="dxa" w:w="120"/>
              <w:left w:type="dxa" w:w="160"/>
              <w:bottom w:type="dxa" w:w="120"/>
              <w:right w:type="dxa" w:w="160"/>
            </w:tcMar>
          </w:tcPr>
          <w:p>
            <w:r>
              <w:rPr>
                <w:rFonts w:ascii="Arial" w:cs="Arial" w:eastAsia="Arial" w:hAnsi="Arial"/>
                <w:b/>
                <w:bCs/>
                <w:color w:val="1B3A6B"/>
                <w:sz w:val="20"/>
                <w:szCs w:val="20"/>
              </w:rPr>
              <w:t xml:space="preserve">MASTERBATCH SUPPLY</w:t>
            </w:r>
          </w:p>
        </w:tc>
        <w:tc>
          <w:tcPr>
            <w:tcW w:type="dxa" w:w="6426"/>
            <w:tcBorders>
              <w:top w:val="single" w:color="CCCCCC" w:sz="2"/>
              <w:left w:val="single" w:color="CCCCCC" w:sz="2"/>
              <w:bottom w:val="single" w:color="CCCCCC" w:sz="2"/>
              <w:right w:val="single" w:color="CCCCCC" w:sz="2"/>
            </w:tcBorders>
            <w:shd w:fill="F5F5F5" w:val="clear"/>
            <w:tcMar>
              <w:top w:type="dxa" w:w="120"/>
              <w:left w:type="dxa" w:w="160"/>
              <w:bottom w:type="dxa" w:w="120"/>
              <w:right w:type="dxa" w:w="160"/>
            </w:tcMar>
          </w:tcPr>
          <w:p>
            <w:r>
              <w:rPr>
                <w:rFonts w:ascii="Arial" w:cs="Arial" w:eastAsia="Arial" w:hAnsi="Arial"/>
                <w:color w:val="333333"/>
                <w:sz w:val="20"/>
                <w:szCs w:val="20"/>
              </w:rPr>
              <w:t xml:space="preserve">Supply of proprietary masterbatch pellets to polymer processors and compounders. Custom formulations for specific polymer systems.</w:t>
            </w:r>
          </w:p>
        </w:tc>
      </w:tr>
      <w:tr>
        <w:tc>
          <w:tcPr>
            <w:tcW w:type="dxa" w:w="2600"/>
            <w:tcBorders>
              <w:top w:val="single" w:color="CCCCCC" w:sz="2"/>
              <w:left w:val="single" w:color="2E75B6" w:sz="8"/>
              <w:bottom w:val="single" w:color="CCCCCC" w:sz="2"/>
              <w:right w:val="single" w:color="CCCCCC" w:sz="2"/>
            </w:tcBorders>
            <w:shd w:fill="EEF4FB" w:val="clear"/>
            <w:tcMar>
              <w:top w:type="dxa" w:w="120"/>
              <w:left w:type="dxa" w:w="160"/>
              <w:bottom w:type="dxa" w:w="120"/>
              <w:right w:type="dxa" w:w="160"/>
            </w:tcMar>
          </w:tcPr>
          <w:p>
            <w:r>
              <w:rPr>
                <w:rFonts w:ascii="Arial" w:cs="Arial" w:eastAsia="Arial" w:hAnsi="Arial"/>
                <w:b/>
                <w:bCs/>
                <w:color w:val="1B3A6B"/>
                <w:sz w:val="20"/>
                <w:szCs w:val="20"/>
              </w:rPr>
              <w:t xml:space="preserve">JOINT DEVELOPMENT</w:t>
            </w:r>
          </w:p>
        </w:tc>
        <w:tc>
          <w:tcPr>
            <w:tcW w:type="dxa" w:w="6426"/>
            <w:tcBorders>
              <w:top w:val="single" w:color="CCCCCC" w:sz="2"/>
              <w:left w:val="single" w:color="CCCCCC" w:sz="2"/>
              <w:bottom w:val="single" w:color="CCCCCC" w:sz="2"/>
              <w:right w:val="single" w:color="CCCCCC" w:sz="2"/>
            </w:tcBorders>
            <w:shd w:fill="EEF4FB" w:val="clear"/>
            <w:tcMar>
              <w:top w:type="dxa" w:w="120"/>
              <w:left w:type="dxa" w:w="160"/>
              <w:bottom w:type="dxa" w:w="120"/>
              <w:right w:type="dxa" w:w="160"/>
            </w:tcMar>
          </w:tcPr>
          <w:p>
            <w:r>
              <w:rPr>
                <w:rFonts w:ascii="Arial" w:cs="Arial" w:eastAsia="Arial" w:hAnsi="Arial"/>
                <w:color w:val="333333"/>
                <w:sz w:val="20"/>
                <w:szCs w:val="20"/>
              </w:rPr>
              <w:t xml:space="preserve">Co-development of application-specific formulations and processes. Joint IP arrangements available for partner-funded development programmes.</w:t>
            </w:r>
          </w:p>
        </w:tc>
      </w:tr>
      <w:tr>
        <w:tc>
          <w:tcPr>
            <w:tcW w:type="dxa" w:w="2600"/>
            <w:tcBorders>
              <w:top w:val="single" w:color="CCCCCC" w:sz="2"/>
              <w:left w:val="single" w:color="2E75B6" w:sz="8"/>
              <w:bottom w:val="single" w:color="CCCCCC" w:sz="2"/>
              <w:right w:val="single" w:color="CCCCCC" w:sz="2"/>
            </w:tcBorders>
            <w:shd w:fill="F5F5F5" w:val="clear"/>
            <w:tcMar>
              <w:top w:type="dxa" w:w="120"/>
              <w:left w:type="dxa" w:w="160"/>
              <w:bottom w:type="dxa" w:w="120"/>
              <w:right w:type="dxa" w:w="160"/>
            </w:tcMar>
          </w:tcPr>
          <w:p>
            <w:r>
              <w:rPr>
                <w:rFonts w:ascii="Arial" w:cs="Arial" w:eastAsia="Arial" w:hAnsi="Arial"/>
                <w:b/>
                <w:bCs/>
                <w:color w:val="1B3A6B"/>
                <w:sz w:val="20"/>
                <w:szCs w:val="20"/>
              </w:rPr>
              <w:t xml:space="preserve">RESEARCH PARTNERSHIP</w:t>
            </w:r>
          </w:p>
        </w:tc>
        <w:tc>
          <w:tcPr>
            <w:tcW w:type="dxa" w:w="6426"/>
            <w:tcBorders>
              <w:top w:val="single" w:color="CCCCCC" w:sz="2"/>
              <w:left w:val="single" w:color="CCCCCC" w:sz="2"/>
              <w:bottom w:val="single" w:color="CCCCCC" w:sz="2"/>
              <w:right w:val="single" w:color="CCCCCC" w:sz="2"/>
            </w:tcBorders>
            <w:shd w:fill="F5F5F5" w:val="clear"/>
            <w:tcMar>
              <w:top w:type="dxa" w:w="120"/>
              <w:left w:type="dxa" w:w="160"/>
              <w:bottom w:type="dxa" w:w="120"/>
              <w:right w:type="dxa" w:w="160"/>
            </w:tcMar>
          </w:tcPr>
          <w:p>
            <w:r>
              <w:rPr>
                <w:rFonts w:ascii="Arial" w:cs="Arial" w:eastAsia="Arial" w:hAnsi="Arial"/>
                <w:color w:val="333333"/>
                <w:sz w:val="20"/>
                <w:szCs w:val="20"/>
              </w:rPr>
              <w:t xml:space="preserve">Collaboration with universities, research institutions, or industrial R&amp;D teams on further characterisation, upscaling, and application development.</w:t>
            </w:r>
          </w:p>
        </w:tc>
      </w:tr>
    </w:tbl>
    <w:p>
      <w:pPr>
        <w:spacing w:before="200" w:after="0"/>
      </w:pPr>
      <w:r>
        <w:t xml:space="preserve"/>
      </w:r>
    </w:p>
    <w:p>
      <w:pPr>
        <w:spacing w:before="280" w:after="120"/>
      </w:pPr>
      <w:r>
        <w:rPr>
          <w:rFonts w:ascii="Arial" w:cs="Arial" w:eastAsia="Arial" w:hAnsi="Arial"/>
          <w:b/>
          <w:bCs/>
          <w:color w:val="1B3A6B"/>
          <w:sz w:val="28"/>
          <w:szCs w:val="28"/>
        </w:rPr>
        <w:t xml:space="preserve">IP &amp; CONFIDENTIALITY</w:t>
      </w:r>
    </w:p>
    <w:p>
      <w:pPr>
        <w:pBdr>
          <w:bottom w:val="single" w:color="2E75B6" w:sz="6" w:space="2"/>
        </w:pBdr>
        <w:spacing w:before="0" w:after="0"/>
      </w:pPr>
      <w:r>
        <w:t xml:space="preserve"/>
      </w:r>
    </w:p>
    <w:p>
      <w:pPr>
        <w:spacing w:before="80" w:after="0"/>
      </w:pPr>
      <w:r>
        <w:t xml:space="preserve"/>
      </w:r>
    </w:p>
    <w:p>
      <w:pPr>
        <w:spacing w:before="80" w:after="8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333333"/>
          <w:sz w:val="22"/>
          <w:szCs w:val="22"/>
        </w:rPr>
        <w:t xml:space="preserve">The technology is protected under PCT patent application PCT/AU2025/051446, filed through IP Australia with a 2025 priority date, covering the core additive system, process, and resulting composite materials. The specific chemistry is a proprietary trade secret of RESOLVE TECHNOLOGIES PLC and is disclosed only under mutual NDA to qualified technology partners.</w:t>
      </w:r>
    </w:p>
    <w:p>
      <w:pPr>
        <w:spacing w:before="200" w:after="0"/>
      </w:pPr>
      <w:r>
        <w:t xml:space="preserve"/>
      </w:r>
    </w:p>
    <w:p>
      <w:pPr>
        <w:spacing w:before="280" w:after="120"/>
      </w:pPr>
      <w:r>
        <w:rPr>
          <w:rFonts w:ascii="Arial" w:cs="Arial" w:eastAsia="Arial" w:hAnsi="Arial"/>
          <w:b/>
          <w:bCs/>
          <w:color w:val="1B3A6B"/>
          <w:sz w:val="28"/>
          <w:szCs w:val="28"/>
        </w:rPr>
        <w:t xml:space="preserve">CONTACT</w:t>
      </w:r>
    </w:p>
    <w:p>
      <w:pPr>
        <w:pBdr>
          <w:bottom w:val="single" w:color="2E75B6" w:sz="6" w:space="2"/>
        </w:pBdr>
        <w:spacing w:before="0" w:after="0"/>
      </w:pPr>
      <w:r>
        <w:t xml:space="preserve"/>
      </w:r>
    </w:p>
    <w:p>
      <w:pPr>
        <w:spacing w:before="80" w:after="0"/>
      </w:pPr>
      <w: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single" w:color="2E75B6" w:sz="2"/>
              <w:left w:val="single" w:color="2E75B6" w:sz="12"/>
              <w:bottom w:val="single" w:color="2E75B6" w:sz="2"/>
              <w:right w:val="none" w:color="FFFFFF" w:sz="0"/>
            </w:tcBorders>
            <w:shd w:fill="EEF4FB" w:val="clear"/>
            <w:tcMar>
              <w:top w:type="dxa" w:w="160"/>
              <w:left w:type="dxa" w:w="240"/>
              <w:bottom w:type="dxa" w:w="160"/>
              <w:right w:type="dxa" w:w="240"/>
            </w:tcMar>
          </w:tcPr>
          <w:p>
            <w:pPr>
              <w:spacing w:before="60" w:after="40"/>
            </w:pPr>
            <w:r>
              <w:rPr>
                <w:rFonts w:ascii="Arial" w:cs="Arial" w:eastAsia="Arial" w:hAnsi="Arial"/>
                <w:b/>
                <w:bCs/>
                <w:color w:val="1B3A6B"/>
                <w:sz w:val="24"/>
                <w:szCs w:val="24"/>
              </w:rPr>
              <w:t xml:space="preserve">Daniel Taylor  —  CEO</w:t>
            </w:r>
          </w:p>
          <w:p>
            <w:pPr>
              <w:spacing w:before="0" w:after="40"/>
            </w:pPr>
            <w:r>
              <w:rPr>
                <w:rFonts w:ascii="Arial" w:cs="Arial" w:eastAsia="Arial" w:hAnsi="Arial"/>
                <w:b/>
                <w:bCs/>
                <w:color w:val="333333"/>
                <w:sz w:val="22"/>
                <w:szCs w:val="22"/>
              </w:rPr>
              <w:t xml:space="preserve">RESOLVE TECHNOLOGIES PLC</w:t>
            </w:r>
          </w:p>
          <w:p>
            <w:pPr>
              <w:spacing w:before="0" w:after="40"/>
            </w:pPr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Perth, Western Australia, Australia</w:t>
            </w:r>
          </w:p>
          <w:p>
            <w:pPr>
              <w:spacing w:before="0" w:after="40"/>
            </w:pPr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E: daniel.taylor@axuscorp.com.au  |  T: +61 424 781 371</w:t>
            </w:r>
          </w:p>
          <w:p>
            <w:pPr>
              <w:spacing w:before="80" w:after="0"/>
            </w:pPr>
            <w:r>
              <w:t xml:space="preserve"/>
            </w:r>
          </w:p>
          <w:p>
            <w:pPr>
              <w:spacing w:before="0" w:after="60"/>
            </w:pPr>
            <w:r>
              <w:rPr>
                <w:rFonts w:ascii="Arial" w:cs="Arial" w:eastAsia="Arial" w:hAnsi="Arial"/>
                <w:i/>
                <w:iCs/>
                <w:color w:val="666666"/>
                <w:sz w:val="20"/>
                <w:szCs w:val="20"/>
              </w:rPr>
              <w:t xml:space="preserve">Interested partners are invited to submit a brief expression of interest and company profile. All substantive technology discussions are conducted under NDA.</w:t>
            </w:r>
          </w:p>
        </w:tc>
      </w:tr>
    </w:tbl>
    <w:sectPr>
      <w:footerReference w:type="default" r:id="rId6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bottom w:val="single" w:color="1B3A6B" w:sz="6" w:space="2"/>
      </w:pBdr>
      <w:spacing w:before="0" w:after="0"/>
    </w:pPr>
    <w:r>
      <w:t xml:space="preserve"/>
    </w:r>
  </w:p>
  <w:p>
    <w:pPr>
      <w:spacing w:before="80" w:after="0"/>
      <w:jc w:val="center"/>
    </w:pPr>
    <w:r>
      <w:rPr>
        <w:rFonts w:ascii="Arial" w:cs="Arial" w:eastAsia="Arial" w:hAnsi="Arial"/>
        <w:color w:val="666666"/>
        <w:sz w:val="16"/>
        <w:szCs w:val="16"/>
      </w:rPr>
      <w:t xml:space="preserve">RESOLVE TECHNOLOGIES PLC  |  INNOGET Technology Offer  |  March 2026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540" w:hanging="30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2026-03-08T04:36:26.677Z</dcterms:created>
  <dcterms:modified xsi:type="dcterms:W3CDTF">2026-03-08T04:36:26.677Z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